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附件5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val="en-US" w:eastAsia="zh-CN"/>
        </w:rPr>
        <w:t>2022、2023年辽宁师范大学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val="en-US" w:eastAsia="zh-CN"/>
        </w:rPr>
        <w:t>应届毕业生入校说明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instrText xml:space="preserve"> HYPERLINK "https://lsdjyw.lnnu.edu.cn/news/view/aid/293116/tag/tzgg" </w:instrTex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https://lsdjyw.lnnu.edu.cn/news/view/aid/293116/tag/tzgg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2098" w:right="1800" w:bottom="19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TNmMzY3OTQ5OTIyOWMwM2Q3MDUwODEyN2E2MmQifQ=="/>
  </w:docVars>
  <w:rsids>
    <w:rsidRoot w:val="42FF776B"/>
    <w:rsid w:val="42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2023-10-26T01:35:00Z</dcterms:created>
  <dc:creator>DA冰冰</dc:creator>
  <cp:lastModifiedBy>DA冰冰</cp:lastModifiedBy>
  <dcterms:modified xsi:type="dcterms:W3CDTF">2023-10-26T01:40:59Z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233C0494B1924F43A5612FF8740CC1B7_11</vt:lpwstr>
  </property>
</Properties>
</file>