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忻州市教育局为忻州一中等学校引进人才公告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经忻州市委、市政府研究决定，拟为忻州市第一中学校园招聘教师、为部分直属学校引进高层次人才，现予公告。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1.《山西省忻州市第一中学校2020年校园招聘教师公告》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2.《山西省忻州市教育局2019年所属学校引进高层次人才公告》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</w:rPr>
        <w:t>山西省忻州市第一中学校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</w:rPr>
        <w:t>2020年校园招聘教师</w:t>
      </w: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eastAsia="zh-CN"/>
        </w:rPr>
        <w:t>公告</w:t>
      </w:r>
    </w:p>
    <w:p>
      <w:pPr>
        <w:spacing w:line="320" w:lineRule="exact"/>
        <w:ind w:firstLine="300" w:firstLineChars="200"/>
        <w:rPr>
          <w:rFonts w:hint="eastAsia" w:ascii="仿宋" w:hAnsi="仿宋" w:eastAsia="仿宋" w:cs="仿宋_GB2312"/>
          <w:kern w:val="0"/>
          <w:sz w:val="15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按照事业单位公开招聘有关文件规定，根据增人计划和招聘单位编制、岗位空缺情况，经市委、市政府研究决定，拟通过校园招聘方式，从“985”院校、“211”院校和公费师范生所在的师范类院校，招聘教师 40名。为了确保招聘工作顺利进行，特制定本方案。</w:t>
      </w:r>
    </w:p>
    <w:p>
      <w:pPr>
        <w:spacing w:line="560" w:lineRule="exact"/>
        <w:ind w:firstLine="590" w:firstLineChars="196"/>
        <w:rPr>
          <w:rFonts w:hint="eastAsia" w:ascii="仿宋" w:hAnsi="仿宋" w:eastAsia="仿宋" w:cs="仿宋_GB2312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一、招聘原则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坚持德才兼备的用人标准，按照公开、平等、竞争、择优、宁缺毋滥的原则，采取考核与考试相结合的方法进行。</w:t>
      </w:r>
    </w:p>
    <w:p>
      <w:pPr>
        <w:spacing w:line="560" w:lineRule="exact"/>
        <w:ind w:firstLine="590" w:firstLineChars="196"/>
        <w:rPr>
          <w:rFonts w:hint="eastAsia" w:ascii="仿宋" w:hAnsi="仿宋" w:eastAsia="仿宋" w:cs="仿宋_GB2312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二、招聘单位名额及岗位</w:t>
      </w:r>
    </w:p>
    <w:tbl>
      <w:tblPr>
        <w:tblStyle w:val="9"/>
        <w:tblW w:w="8677" w:type="dxa"/>
        <w:jc w:val="center"/>
        <w:tblCellSpacing w:w="0" w:type="dxa"/>
        <w:tblInd w:w="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581"/>
        <w:gridCol w:w="1581"/>
        <w:gridCol w:w="2352"/>
        <w:gridCol w:w="15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招聘</w:t>
            </w: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单位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2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招聘</w:t>
            </w: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岗位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招聘</w:t>
            </w: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  <w:jc w:val="center"/>
        </w:trPr>
        <w:tc>
          <w:tcPr>
            <w:tcW w:w="158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忻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州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市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教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育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局</w:t>
            </w:r>
          </w:p>
        </w:tc>
        <w:tc>
          <w:tcPr>
            <w:tcW w:w="158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忻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州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市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第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一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中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校</w:t>
            </w:r>
          </w:p>
        </w:tc>
        <w:tc>
          <w:tcPr>
            <w:tcW w:w="158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额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业</w:t>
            </w:r>
          </w:p>
        </w:tc>
        <w:tc>
          <w:tcPr>
            <w:tcW w:w="2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语文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58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数学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58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英语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158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政治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158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历史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158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物理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158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化学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158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生物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158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kern w:val="0"/>
                <w:sz w:val="30"/>
                <w:szCs w:val="30"/>
              </w:rPr>
              <w:t>心理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tblCellSpacing w:w="0" w:type="dxa"/>
          <w:jc w:val="center"/>
        </w:trPr>
        <w:tc>
          <w:tcPr>
            <w:tcW w:w="158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信息技术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（教育技术）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58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体育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tblCellSpacing w:w="0" w:type="dxa"/>
          <w:jc w:val="center"/>
        </w:trPr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合计</w:t>
            </w:r>
          </w:p>
        </w:tc>
        <w:tc>
          <w:tcPr>
            <w:tcW w:w="70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0A0A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40</w:t>
            </w:r>
          </w:p>
        </w:tc>
      </w:tr>
    </w:tbl>
    <w:p>
      <w:pPr>
        <w:spacing w:line="560" w:lineRule="exact"/>
        <w:ind w:firstLine="588" w:firstLineChars="196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单位地址：山西省忻州市和平中街8号。邮编：034000</w:t>
      </w:r>
    </w:p>
    <w:p>
      <w:pPr>
        <w:spacing w:line="560" w:lineRule="exact"/>
        <w:ind w:firstLine="590" w:firstLineChars="196"/>
        <w:rPr>
          <w:rFonts w:hint="eastAsia" w:ascii="仿宋" w:hAnsi="仿宋" w:eastAsia="仿宋" w:cs="仿宋_GB2312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 xml:space="preserve">三、招聘公告发布 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本次招聘教师信息通过忻州市第一中学校网站、忻州市第一中学校微信平台、忻州市教育局网站、招聘院校校园网发布。</w:t>
      </w:r>
    </w:p>
    <w:p>
      <w:pPr>
        <w:spacing w:line="560" w:lineRule="exact"/>
        <w:rPr>
          <w:rFonts w:hint="eastAsia" w:ascii="仿宋" w:hAnsi="仿宋" w:eastAsia="仿宋" w:cs="仿宋_GB2312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　　</w:t>
      </w: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四、招聘条件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(一)基本条件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1、具有中华人民共和国国籍；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2、遵守宪法、法律和法规；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3、具有良好的品行，有强烈的责任感和敬业精神； 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4、具有适应岗位要求的身体条件。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(二)资格条件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1、年龄要求：18周岁以上、35周岁以下（即198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年11月1日至2001年11月1日期间出生），博士研究生40周岁以下（1979年11月1日后出生）。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2、学历要求： “985”院校、“211”院校硕士及以上研究生；“985”院校、“211”师范类院校本</w:t>
      </w: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30"/>
          <w:szCs w:val="30"/>
        </w:rPr>
        <w:t>科生和公费师范生。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3、资格证要求：具有相应学科的高中教师资格证，暂未取得教师资格证书者，在试用期内必须考取高级中学教师资格证书，否则取消聘用资格。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4、普通话要求：语文教师二级甲等及以上，其他教师二级乙等及以上。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_GB2312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kern w:val="0"/>
          <w:sz w:val="30"/>
          <w:szCs w:val="30"/>
        </w:rPr>
        <w:t>五、报名及资格审查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本次招聘教师采取现场报名的方式进行，报名地点：北京师范大学、华东师范大学、华中师范大学、东北师范大学、西南大学、陕西师范大学（其余符合报名条件的考生，可就近在以上六所院校现场报名）；报名时间请关注上述院校网站或忻州市第一中学校网站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1.报考人员可在报名时间内登录忻州一中网站下载《忻州一中招聘教师报名表》。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2.报名人员只能选择一个岗位(所学专业必须符合所报岗位对专业的要求)进行报名。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3.报名需提供以下材料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①《忻州一中招聘教师报名表》及个人简历各1份；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②身份证原件及复印件。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资格审查由招聘教师领导组办公室负责。报名时进行资格审查，提出审核意见。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_GB2312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六、考试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考试由忻州市第一中学校具体组织实施，招聘费用由招聘单位负责解决。考试分面试和笔试,若每个报名点、每个岗位报名人数超过本次招聘岗位名额5倍及以上的，增加笔试环节；招聘岗位报考人数不达5倍的，只面试，不参加笔试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（一）面试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资格审查合格的考生全部参加面试。面试评委由招聘教师领导组办公室专家担任。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面试形式：现场报名通过资格审查的考生，自备课题面对评委讲课10分钟。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面试满分100分，面试成绩90分以上，按招聘名额，现场签约；面试最低合格分70分，不达70分不得进入下一招聘环节。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（二）笔试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若需要笔试，笔试人选按空余招聘岗位名额1:2的比例按面试成绩从高分到低分确定。笔试内容为所报岗位的专业知识，笔试采取闭卷方式进行，笔试满分均为100分，用时100分钟。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面试成绩占总成绩40%，笔试成绩占总成绩60％。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考试总成绩=面试成绩×40%+笔试成绩×60%。不参加笔试的考生，面试成绩为本人考试总成绩。考试总成绩保留两位小数。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考生笔试最低合格分为60分，不达60分者不得进入下一个招聘环节。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不需要参加笔试的考生，根据空余招聘名额，坚持宁缺勿滥的原则，择优确定拟聘用人员；参加了笔试的考生，根据空余招聘名额1:1的比例按总成绩由高分到低分确定拟聘用人员。拟聘用人员一经确定，即与忻州一中签订《山西省事业单位工作人员聘用合同书》，聘期和起薪时间从2020年8月1日算起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具体时间、地点见忻州一中网站公告。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公费师范生按公费师范生就业的有关政策择优选聘（招聘数包含在总招聘名额中）。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_GB2312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七、公示和聘用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根据考试情况，对拟聘用人员在忻州一中网站进行公示，公示期为7个工作日。公示内容和方式按中共山西省委组织部、山西省人社厅《关于做好2018年全省事业单位公开招聘有关工作问题的通知》晋人社厅发［2018］55号文件要求进行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公示期满后，没有问题或反映的问题不影响聘用的，办理聘用手续；对反映有影响聘用的问题并查实的，不予聘用；对反映的问题一时难以查实的，可暂缓聘用，待查清后再决定是否聘用。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聘用人员填写《山西省事业单位公开招聘工作人员登记表》，报忻州市人社局审核批准后办理聘用手续。所聘人员实行聘用制，试用期一年，试用期满考核合格者办理正式聘用手续。试用期包括在聘用合同期限内，考核不合格者取消聘用资格。对签订合同提出放弃的考生，无正当理由，未在规定时间内报到的，取消其相应资格，并记入诚信档案，按合同约定承担相应法律责任。被聘用人员必须在招聘单位服务满5年，违约者需支付10万元违约金，违约金上缴市财政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_GB2312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kern w:val="0"/>
          <w:sz w:val="30"/>
          <w:szCs w:val="30"/>
        </w:rPr>
        <w:t>八、体检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按事业单位公开招聘工作人员有关规定实施。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_GB2312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kern w:val="0"/>
          <w:sz w:val="30"/>
          <w:szCs w:val="30"/>
        </w:rPr>
        <w:t>九、监督检查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本次招聘考试等环节，由忻州市教育局、忻州市人社局监督，并设立举报电话；招聘信息在发布网站公布，对群众的检举、申诉和控告，认真核查，对弄虚作假、徇私舞弊等违反招聘纪律的行为严肃查处。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咨询电话：0350—8672757  忻州市第一中学校办公室</w:t>
      </w:r>
    </w:p>
    <w:p>
      <w:pPr>
        <w:spacing w:line="560" w:lineRule="exact"/>
        <w:ind w:firstLine="2100" w:firstLineChars="7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15635051806    张老师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监督电话：0350—2021271  忻州市教育局人事科</w:t>
      </w:r>
    </w:p>
    <w:p>
      <w:pPr>
        <w:spacing w:line="560" w:lineRule="exact"/>
        <w:ind w:firstLine="2100" w:firstLineChars="7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0350—3333625忻州市人力资源和社会保障局事业科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本次引进人才在忻州市教育局、忻州市人力资源和社会保障局指导监督下，由忻一中具体组织实施。</w:t>
      </w:r>
    </w:p>
    <w:p>
      <w:pPr>
        <w:spacing w:line="560" w:lineRule="exact"/>
        <w:rPr>
          <w:rFonts w:hint="eastAsia" w:ascii="仿宋" w:hAnsi="仿宋" w:eastAsia="仿宋" w:cs="仿宋_GB2312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注：报名成功后，考生要确保联系电话畅通。</w:t>
      </w:r>
    </w:p>
    <w:p>
      <w:pPr>
        <w:spacing w:line="560" w:lineRule="exact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附：《忻州一中2020年招聘教师报名表》</w:t>
      </w:r>
    </w:p>
    <w:p>
      <w:pPr>
        <w:spacing w:line="560" w:lineRule="exact"/>
        <w:ind w:firstLine="5400" w:firstLineChars="1800"/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spacing w:line="560" w:lineRule="exact"/>
        <w:ind w:firstLine="5400" w:firstLineChars="1800"/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spacing w:line="560" w:lineRule="exact"/>
        <w:ind w:firstLine="2100" w:firstLineChars="7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山西省忻州市第一中学校校园招聘教师领导组</w:t>
      </w:r>
    </w:p>
    <w:p>
      <w:pPr>
        <w:spacing w:line="560" w:lineRule="exact"/>
        <w:ind w:firstLine="4200" w:firstLineChars="14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2019年10月22日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object>
          <v:shape id="_x0000_i1025" o:spt="75" type="#_x0000_t75" style="height:674.75pt;width:456.3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6">
            <o:LockedField>false</o:LockedField>
          </o:OLEObject>
        </w:object>
      </w: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山西省忻州市教育局2019年</w:t>
      </w: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所属学校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引进高层次人才公告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0" w:beforeAutospacing="0" w:after="0" w:afterLines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为贯彻落实市委深化人才发展体制机制改革精神，加大高层次人才引进力度，进一步优化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市教育局</w:t>
      </w:r>
      <w:r>
        <w:rPr>
          <w:rFonts w:hint="eastAsia" w:ascii="仿宋_GB2312" w:eastAsia="仿宋_GB2312"/>
          <w:sz w:val="32"/>
          <w:szCs w:val="32"/>
          <w:highlight w:val="none"/>
        </w:rPr>
        <w:t>所属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学校教师</w:t>
      </w:r>
      <w:r>
        <w:rPr>
          <w:rFonts w:hint="eastAsia" w:ascii="仿宋_GB2312" w:eastAsia="仿宋_GB2312"/>
          <w:sz w:val="32"/>
          <w:szCs w:val="32"/>
          <w:highlight w:val="none"/>
        </w:rPr>
        <w:t>队伍结构，根据市委人才工作领导组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统一安排部署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拟为市教育局所属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_GB2312" w:eastAsia="仿宋_GB2312"/>
          <w:sz w:val="32"/>
          <w:szCs w:val="32"/>
          <w:highlight w:val="none"/>
        </w:rPr>
        <w:t>引进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高层次人才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现公告如下：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一、引才计划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本次计划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为市教育局所属的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6所学校</w:t>
      </w:r>
      <w:r>
        <w:rPr>
          <w:rFonts w:hint="eastAsia" w:ascii="仿宋_GB2312" w:eastAsia="仿宋_GB2312"/>
          <w:sz w:val="32"/>
          <w:szCs w:val="32"/>
          <w:highlight w:val="none"/>
        </w:rPr>
        <w:t>引进高层次人才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名，具体岗位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名额见</w:t>
      </w:r>
      <w:r>
        <w:rPr>
          <w:rFonts w:hint="eastAsia" w:ascii="仿宋_GB2312" w:hAnsi="Calibri" w:eastAsia="仿宋_GB2312" w:cs="黑体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忻州市教育局</w:t>
      </w:r>
      <w:r>
        <w:rPr>
          <w:rFonts w:hint="eastAsia" w:ascii="仿宋_GB2312" w:hAnsi="Calibri" w:eastAsia="仿宋_GB2312" w:cs="黑体"/>
          <w:kern w:val="2"/>
          <w:sz w:val="32"/>
          <w:szCs w:val="32"/>
          <w:highlight w:val="none"/>
          <w:lang w:val="en-US" w:eastAsia="zh-CN" w:bidi="ar-SA"/>
        </w:rPr>
        <w:t>2019年所属学校引进高层次人才岗位需求信息表》</w:t>
      </w:r>
      <w:r>
        <w:rPr>
          <w:rFonts w:hint="eastAsia" w:ascii="仿宋_GB2312" w:eastAsia="仿宋_GB2312" w:cs="黑体"/>
          <w:kern w:val="2"/>
          <w:sz w:val="32"/>
          <w:szCs w:val="32"/>
          <w:highlight w:val="none"/>
          <w:lang w:val="en-US" w:eastAsia="zh-CN" w:bidi="ar-SA"/>
        </w:rPr>
        <w:t>(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1)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0" w:beforeAutospacing="0" w:after="0" w:afterLines="0" w:afterAutospacing="0" w:line="580" w:lineRule="exact"/>
        <w:ind w:right="0" w:rightChars="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二、引进原则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Chars="200" w:right="0" w:rightChars="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（一）坚持德才兼备、任人唯贤的原则；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Chars="200" w:right="0" w:right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（二）坚持按需设岗、按岗引进的原则；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Chars="200" w:right="0" w:rightChars="0"/>
        <w:jc w:val="both"/>
        <w:textAlignment w:val="auto"/>
        <w:outlineLvl w:val="2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（三）坚持公开、平等、竞争、择优的原则。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 xml:space="preserve">    三、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引进对象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（一）应（往）届全日制博士研究生，年龄在40周岁以下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（1978年11月1日以后出生）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（二）双一流建设高校、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世界排名前200所高校（US News,QS,THE,ARWU四个研究机构发布的最新世界大学排名）、未列入国家“双一流大学及学科”的国内排名前三的行业重点院校及学科、山西大学的应（往）届全日制硕士研究生，年龄在35周岁以下（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1983年11月1日以后出生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（三）已取得中小学高级教师、中等职业学校高级讲师及以上职称的教师，需具有全日制大学本科及以上学历，年龄在45周岁以下（1973年11月1日以后出生）。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0" w:beforeAutospacing="0" w:after="0" w:afterLines="0" w:afterAutospacing="0" w:line="580" w:lineRule="exact"/>
        <w:ind w:right="0" w:rightChars="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四、</w:t>
      </w:r>
      <w:r>
        <w:rPr>
          <w:rStyle w:val="7"/>
          <w:rFonts w:hint="eastAsia" w:ascii="黑体" w:hAnsi="黑体" w:eastAsia="黑体" w:cs="黑体"/>
          <w:b w:val="0"/>
          <w:bCs/>
          <w:i w:val="0"/>
          <w:color w:val="auto"/>
          <w:sz w:val="32"/>
          <w:szCs w:val="32"/>
          <w:highlight w:val="none"/>
          <w:shd w:val="clear" w:color="auto" w:fill="FFFFFF"/>
        </w:rPr>
        <w:t>引进</w:t>
      </w:r>
      <w:r>
        <w:rPr>
          <w:rStyle w:val="7"/>
          <w:rFonts w:hint="eastAsia" w:ascii="黑体" w:hAnsi="黑体" w:eastAsia="黑体" w:cs="黑体"/>
          <w:b w:val="0"/>
          <w:bCs/>
          <w:i w:val="0"/>
          <w:color w:val="auto"/>
          <w:sz w:val="32"/>
          <w:szCs w:val="32"/>
          <w:highlight w:val="none"/>
          <w:shd w:val="clear" w:color="auto" w:fill="FFFFFF"/>
          <w:lang w:eastAsia="zh-CN"/>
        </w:rPr>
        <w:t>条件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（一）拥护中国共产党的领导，思想进步，品行优良，遵纪守法，爱岗敬业，服从组织安排。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（二）学历要求：取得引进对象要求的学历、学位，报名人员为2020年普通高校应届毕业的，其毕业证书及学位证书需在2020年9月1日前取得。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（三）资格证要求：取得引进岗位学段以上的教师资格证书，教师资格证书的任教学科与引进学科一致。暂未取得教师资格证书者，在试用期内必须考取相应的教师资格证书，否则取消聘用资格。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（四）普通话要求：语文教师岗位应达到《普通话水平测试等级标准》二级甲等及以上标准，其他岗位应达到二级乙等及以上标准，并取得《普通话水平测试等级证书》。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（五）引进对象中的第三类人员，需具有引进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岗位学科的中小学高级教师、中等职业学校高级讲师及以上资格证书。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（六）具有正常履职的身体条件。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下列人员不得报名：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1.忻州市范围内机关事业单位在编人员；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2.现役军人；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3.所在单位有服务年限规定且服务期未满的人员；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4.曾因犯罪受过刑事处罚的、曾被开除中国共产党党籍和公职的，在立案审查期间或未解除党纪政纪处分的人员；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5.各级公务员招录和事业单位招聘中被认定有舞弊等严重违反招录、招聘纪律的人员；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6.被依法列为失信联合惩戒对象的人员；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7.被辞退未满5年的公职人员；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8.引进后即构成回避关系岗位的人员；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9.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具有法律法规及有关政策规定不得报名的其他情形的人员。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ind w:right="0" w:rightChars="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以上引进条件中，除有专门规定外，均以公告发布之日为截止日期。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</w:rPr>
        <w:t>人才引进程序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 xml:space="preserve">    （一）报名方式及时间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报名方式：现场报名（不收取报名费）。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报名地点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时间：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为了方便考生报名，本次引进人才在忻州市第五中学（和平中街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）、北京师范大学、华东师范大学、华中师范大学、东北师范大学、西南大学、陕西师范大学分别设立现场报名点。其他院校符合报名条件的考生，可就近到现场报名点报名。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忻州市第五中学报名点的报名时间：从公告发布之日起至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2019年11月1 日</w:t>
      </w:r>
      <w:r>
        <w:rPr>
          <w:rFonts w:hint="eastAsia" w:ascii="仿宋_GB2312" w:eastAsia="仿宋_GB2312"/>
          <w:sz w:val="32"/>
          <w:szCs w:val="32"/>
          <w:highlight w:val="none"/>
        </w:rPr>
        <w:t>（公休日除外）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，上午8：00至12：00，下午14：30至18：00。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其他院校报名点的详细地址、报名时间请关注该院校网站或忻州市教育局网站。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highlight w:val="none"/>
        </w:rPr>
        <w:t>报名要求：报名人员可根据自身情况选择一个岗位报名，不得兼报，不得改报。按照报名条件认真填写《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忻州市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2019年部分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市直事业单位引进高层次人才报名表</w:t>
      </w:r>
      <w:r>
        <w:rPr>
          <w:rFonts w:hint="eastAsia" w:ascii="仿宋_GB2312" w:eastAsia="仿宋_GB2312"/>
          <w:sz w:val="32"/>
          <w:szCs w:val="32"/>
          <w:highlight w:val="none"/>
        </w:rPr>
        <w:t>》（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见附件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2，</w:t>
      </w:r>
      <w:r>
        <w:rPr>
          <w:rFonts w:hint="eastAsia" w:ascii="仿宋_GB2312" w:eastAsia="仿宋_GB2312"/>
          <w:sz w:val="32"/>
          <w:szCs w:val="32"/>
          <w:highlight w:val="none"/>
        </w:rPr>
        <w:t>手写或机打），所填写毕业学校、时间、专业要与毕业证内容一致。报名人员提交的报名材料要真实、准确。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异</w:t>
      </w:r>
      <w:r>
        <w:rPr>
          <w:rFonts w:hint="eastAsia" w:ascii="仿宋_GB2312" w:eastAsia="仿宋_GB2312"/>
          <w:sz w:val="32"/>
          <w:szCs w:val="32"/>
          <w:highlight w:val="none"/>
        </w:rPr>
        <w:t>地在职人员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提供</w:t>
      </w:r>
      <w:r>
        <w:rPr>
          <w:rFonts w:hint="eastAsia" w:ascii="仿宋_GB2312" w:eastAsia="仿宋_GB2312"/>
          <w:sz w:val="32"/>
          <w:szCs w:val="32"/>
          <w:highlight w:val="none"/>
        </w:rPr>
        <w:t>所在单位主要领导签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字的</w:t>
      </w:r>
      <w:r>
        <w:rPr>
          <w:rFonts w:hint="eastAsia" w:ascii="仿宋_GB2312" w:eastAsia="仿宋_GB2312"/>
          <w:sz w:val="32"/>
          <w:szCs w:val="32"/>
          <w:highlight w:val="none"/>
        </w:rPr>
        <w:t>同意报考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证明</w:t>
      </w:r>
      <w:r>
        <w:rPr>
          <w:rFonts w:hint="eastAsia" w:ascii="仿宋_GB2312" w:eastAsia="仿宋_GB2312"/>
          <w:sz w:val="32"/>
          <w:szCs w:val="32"/>
          <w:highlight w:val="none"/>
        </w:rPr>
        <w:t>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textAlignment w:val="auto"/>
        <w:rPr>
          <w:rFonts w:hint="eastAsia" w:ascii="华文楷体" w:hAnsi="华文楷体" w:eastAsia="华文楷体" w:cs="华文楷体"/>
          <w:sz w:val="32"/>
          <w:szCs w:val="32"/>
          <w:highlight w:val="none"/>
        </w:rPr>
      </w:pPr>
      <w:r>
        <w:rPr>
          <w:rFonts w:hint="eastAsia" w:ascii="华文楷体" w:hAnsi="华文楷体" w:eastAsia="华文楷体" w:cs="华文楷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 xml:space="preserve">   （二）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eastAsia="zh-CN"/>
        </w:rPr>
        <w:t>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报名时进行资格审查。报名人员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需</w:t>
      </w:r>
      <w:r>
        <w:rPr>
          <w:rFonts w:hint="eastAsia" w:ascii="仿宋_GB2312" w:eastAsia="仿宋_GB2312"/>
          <w:sz w:val="32"/>
          <w:szCs w:val="32"/>
          <w:highlight w:val="none"/>
        </w:rPr>
        <w:t>提供以下证件材料：《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忻州市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2019年部分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市直事业单位引进高层次人才报名表</w:t>
      </w:r>
      <w:r>
        <w:rPr>
          <w:rFonts w:hint="eastAsia" w:ascii="仿宋_GB2312" w:eastAsia="仿宋_GB2312"/>
          <w:sz w:val="32"/>
          <w:szCs w:val="32"/>
          <w:highlight w:val="none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、二代身份证、</w:t>
      </w:r>
      <w:r>
        <w:rPr>
          <w:rFonts w:hint="eastAsia" w:ascii="仿宋_GB2312" w:eastAsia="仿宋_GB2312"/>
          <w:sz w:val="32"/>
          <w:szCs w:val="32"/>
          <w:highlight w:val="none"/>
        </w:rPr>
        <w:t>毕业证、学位证、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教师资格证、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普通话水平测试等级证</w:t>
      </w:r>
      <w:r>
        <w:rPr>
          <w:rFonts w:hint="eastAsia" w:ascii="仿宋_GB2312" w:eastAsia="仿宋_GB2312"/>
          <w:sz w:val="32"/>
          <w:szCs w:val="32"/>
          <w:highlight w:val="none"/>
        </w:rPr>
        <w:t>等相关资格证书原件及复印件，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报名人员为2020年普通高校应届毕业的，可先提交学校出具的在籍学习证明，</w:t>
      </w:r>
      <w:r>
        <w:rPr>
          <w:rFonts w:hint="eastAsia" w:ascii="仿宋_GB2312" w:eastAsia="仿宋_GB2312"/>
          <w:sz w:val="32"/>
          <w:szCs w:val="32"/>
          <w:highlight w:val="none"/>
        </w:rPr>
        <w:t>近期一寸正面红底证件照6张（同底电子版照片），网上学历认证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  <w:highlight w:val="none"/>
        </w:rPr>
        <w:t>，留学归国人员需出具教育部中国留学服务中心出具的境外学历、学位认证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书等相关证件材料原件及复印件。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eastAsia="zh-CN"/>
        </w:rPr>
        <w:t>异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地在职人员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eastAsia="zh-CN"/>
        </w:rPr>
        <w:t>提供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所在单位主要领导签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eastAsia="zh-CN"/>
        </w:rPr>
        <w:t>字的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同意报考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eastAsia="zh-CN"/>
        </w:rPr>
        <w:t>证明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并加盖公章。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eastAsia="zh-CN"/>
        </w:rPr>
        <w:t>引进对象第三类人员提供中小学高级教师、中等职业学校高级讲师资格证书原件及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复印件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收到报名人员的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报名表及相关材料后，按</w:t>
      </w:r>
      <w:r>
        <w:rPr>
          <w:rFonts w:hint="eastAsia" w:ascii="仿宋_GB2312" w:eastAsia="仿宋_GB2312"/>
          <w:sz w:val="32"/>
          <w:szCs w:val="32"/>
          <w:highlight w:val="none"/>
        </w:rPr>
        <w:t>照资格条件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要求进行资格审查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（三）考核确定初步人选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对资格审查合格人员的政治思想、道德品质、专业能力、现实表现进行全面考核。考核采用面试、组织考察考核方式进行。资格审查合格的考生全部参加面试。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1.面试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面试评委由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市教育局引进高层次人才工作领导小组组织专家担任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面试形式：现场报名通过资格审查的考生，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按所报岗位学段学科</w:t>
      </w:r>
      <w:r>
        <w:rPr>
          <w:rFonts w:hint="eastAsia" w:ascii="仿宋_GB2312" w:eastAsia="仿宋_GB2312"/>
          <w:sz w:val="32"/>
          <w:szCs w:val="32"/>
          <w:highlight w:val="none"/>
        </w:rPr>
        <w:t>自备课题面对评委讲课10分钟。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面试满分100分，面试最低合格分70分，不达70分不得进入下一招聘环节。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地点设在报名点，具体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时间、地点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电话通知考生，请考生保持联系电话畅通。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ind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组织考察考核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ind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考察考核人选要坚持宁缺勿滥的原则，择优确定。根据引进名额1:1的比例，按面试成绩由高分到低分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确定考察考核人选。按此比例确定同一岗位考察考核人选最后1名并列时，加试一场面试，按加试的面试成绩确定考察考核人选。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拟定的考察考核人选，经市教育局党组会议研究决定后，按下列程序开展考察考核工作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（1）审核考察考核人选档案。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（2）考察了解：应届毕业生，主要通过征求所在学院及学校意见，走访同学、老师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家访等形式进行谈话了解；往届毕业生，征求所在社区意见，走访亲戚朋友、家访等进行谈话了解；外地在职人员，到所在单位与领导班子成员、本科室同志谈话了解人选表现情况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参照年度考核、表彰奖励、工作业绩等情况，对考察对象的德、能、勤、绩、廉以及存在需要回避等情况进行考察，突出考察人选的政治品质、道德品行、综合素质和廉洁自律情况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征求所在单位和主管部门意见，进行民主测评。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（3）与考察考核人选进行谈话了解。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（4）征求相关部门意见。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有下列行为之一的取消考察考核资格：发现有打招呼、写条子、请客送礼等行为的;发现在考试中有作弊行为的;发现有违反党风廉政建设规定、违反组织人事工作纪律、弄虚作假的;发现个人真实信息或档案信息不符合人才引进资格条件的;发现有违反计划生育政策的;其他违反法律规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（四）组织体检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根据考核结果,按照拟引进岗位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名额</w:t>
      </w:r>
      <w:r>
        <w:rPr>
          <w:rFonts w:hint="eastAsia" w:ascii="仿宋_GB2312" w:eastAsia="仿宋_GB2312"/>
          <w:sz w:val="32"/>
          <w:szCs w:val="32"/>
          <w:highlight w:val="none"/>
        </w:rPr>
        <w:t>1:1比例确定体检人员并组织体检。体检标准参照《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山西省申请教师资格人员体检标准及办法（修订</w:t>
      </w:r>
      <w:r>
        <w:rPr>
          <w:rFonts w:hint="eastAsia" w:ascii="仿宋_GB2312" w:eastAsia="仿宋_GB2312"/>
          <w:sz w:val="32"/>
          <w:szCs w:val="32"/>
          <w:highlight w:val="none"/>
        </w:rPr>
        <w:t>）&gt;》执行。因体检不合格等原因出现职位人选缺额的,不再进行递补。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  <w:highlight w:val="none"/>
        </w:rPr>
      </w:pP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不按规定时间、地点参加体检的人员，视为自动放弃体检资格。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（五）公示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综合各方面考察考核结果，经市教育局党组会议研究决定后，将初步人选名单</w:t>
      </w:r>
      <w:r>
        <w:rPr>
          <w:rFonts w:hint="eastAsia" w:ascii="仿宋_GB2312" w:eastAsia="仿宋_GB2312"/>
          <w:sz w:val="32"/>
          <w:szCs w:val="32"/>
          <w:highlight w:val="none"/>
        </w:rPr>
        <w:t>报市委组织部审定，经市委人才工作领导组研究确定后，由市委人才工作领导组办公室在原发布公告的媒体上公示，公示时间为7个工作日，公示无异议，办理聘用手续。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（六）聘</w:t>
      </w:r>
      <w:r>
        <w:rPr>
          <w:rFonts w:hint="default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 xml:space="preserve">用和管理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引进人才一律实行聘用制，纳入事业编制管理,组织人事、编制管理部门负责办理人事、工资、入编、聘用手续。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引进人才实行试用期制度,试用期包含在聘用期内。试用期满由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引进人才的学校</w:t>
      </w:r>
      <w:r>
        <w:rPr>
          <w:rFonts w:hint="eastAsia" w:ascii="仿宋_GB2312" w:eastAsia="仿宋_GB2312"/>
          <w:sz w:val="32"/>
          <w:szCs w:val="32"/>
          <w:highlight w:val="none"/>
        </w:rPr>
        <w:t>进行考察，经考察合格，正式聘用；考察不合格，经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市教育局</w:t>
      </w:r>
      <w:r>
        <w:rPr>
          <w:rFonts w:hint="eastAsia" w:ascii="仿宋_GB2312" w:eastAsia="仿宋_GB2312"/>
          <w:sz w:val="32"/>
          <w:szCs w:val="32"/>
          <w:highlight w:val="none"/>
        </w:rPr>
        <w:t>审核同意，报组织、人社部门备案后，予以解聘。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六、监督检查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本次引进人才工作面试、体检等环节，由市纪委监委驻市教育局纪检监察组监督。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监督电话：</w:t>
      </w:r>
      <w:r>
        <w:rPr>
          <w:rFonts w:hint="eastAsia" w:ascii="仿宋_GB2312" w:hAnsi="Arial" w:eastAsia="仿宋_GB2312" w:cs="Arial"/>
          <w:kern w:val="0"/>
          <w:sz w:val="30"/>
          <w:szCs w:val="30"/>
          <w:lang w:val="en-US" w:eastAsia="zh-CN"/>
        </w:rPr>
        <w:t>0350-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202</w:t>
      </w:r>
      <w:r>
        <w:rPr>
          <w:rFonts w:hint="eastAsia" w:ascii="仿宋_GB2312" w:hAnsi="Arial" w:eastAsia="仿宋_GB2312" w:cs="Arial"/>
          <w:kern w:val="0"/>
          <w:sz w:val="30"/>
          <w:szCs w:val="30"/>
          <w:lang w:val="en-US" w:eastAsia="zh-CN"/>
        </w:rPr>
        <w:t>0368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2238" w:leftChars="304" w:right="0" w:rightChars="0" w:hanging="1600" w:hangingChars="5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2238" w:leftChars="304" w:right="0" w:rightChars="0" w:hanging="1600" w:hangingChars="5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件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黑体"/>
          <w:kern w:val="2"/>
          <w:sz w:val="32"/>
          <w:szCs w:val="32"/>
          <w:highlight w:val="none"/>
          <w:lang w:val="en-US" w:eastAsia="zh-CN" w:bidi="ar-SA"/>
        </w:rPr>
        <w:t>1.《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忻州市教育局</w:t>
      </w:r>
      <w:r>
        <w:rPr>
          <w:rFonts w:hint="eastAsia" w:ascii="仿宋_GB2312" w:hAnsi="Calibri" w:eastAsia="仿宋_GB2312" w:cs="黑体"/>
          <w:kern w:val="2"/>
          <w:sz w:val="32"/>
          <w:szCs w:val="32"/>
          <w:highlight w:val="none"/>
          <w:lang w:val="en-US" w:eastAsia="zh-CN" w:bidi="ar-SA"/>
        </w:rPr>
        <w:t>2019年所属学校引进高层次人才  岗位需求信息表》</w:t>
      </w:r>
    </w:p>
    <w:p>
      <w:pPr>
        <w:pStyle w:val="4"/>
        <w:keepNext w:val="0"/>
        <w:keepLines w:val="0"/>
        <w:pageBreakBefore w:val="0"/>
        <w:widowControl w:val="0"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Calibri" w:eastAsia="仿宋_GB2312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highlight w:val="none"/>
          <w:lang w:val="en-US" w:eastAsia="zh-CN" w:bidi="ar-SA"/>
        </w:rPr>
        <w:t>2.《忻州市2019年部分市直事业单位引进高层次人</w:t>
      </w:r>
    </w:p>
    <w:p>
      <w:pPr>
        <w:pStyle w:val="4"/>
        <w:keepNext w:val="0"/>
        <w:keepLines w:val="0"/>
        <w:pageBreakBefore w:val="0"/>
        <w:widowControl w:val="0"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Calibri" w:eastAsia="仿宋_GB2312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highlight w:val="none"/>
          <w:lang w:val="en-US" w:eastAsia="zh-CN" w:bidi="ar-SA"/>
        </w:rPr>
        <w:t>才报名表》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黑体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黑体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5440" w:firstLineChars="1700"/>
        <w:jc w:val="both"/>
        <w:textAlignment w:val="auto"/>
        <w:outlineLvl w:val="9"/>
        <w:rPr>
          <w:rFonts w:hint="eastAsia" w:ascii="仿宋_GB2312" w:hAnsi="Calibri" w:eastAsia="仿宋_GB2312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highlight w:val="none"/>
          <w:lang w:val="en-US" w:eastAsia="zh-CN" w:bidi="ar-SA"/>
        </w:rPr>
        <w:t>忻州市教育局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4000" w:firstLineChars="125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2019年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4000" w:firstLineChars="125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4000" w:firstLineChars="125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4000" w:firstLineChars="125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  <w:sectPr>
          <w:footerReference r:id="rId3" w:type="default"/>
          <w:footerReference r:id="rId4" w:type="even"/>
          <w:pgSz w:w="11906" w:h="16838"/>
          <w:pgMar w:top="1701" w:right="1474" w:bottom="170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tbl>
      <w:tblPr>
        <w:tblStyle w:val="9"/>
        <w:tblW w:w="1373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098"/>
        <w:gridCol w:w="1541"/>
        <w:gridCol w:w="999"/>
        <w:gridCol w:w="787"/>
        <w:gridCol w:w="614"/>
        <w:gridCol w:w="736"/>
        <w:gridCol w:w="4964"/>
        <w:gridCol w:w="845"/>
        <w:gridCol w:w="16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1：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731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忻州市教育局2019年所属学校引进高层次人才岗位需求信息表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引才单位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引进名额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引进学科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（20人）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市长征小学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(3人)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语文         </w:t>
            </w:r>
          </w:p>
        </w:tc>
        <w:tc>
          <w:tcPr>
            <w:tcW w:w="4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（往）届全日制博士研究生；双一流建设高校、世界排名前200所高校、未列入国家“双一流大学及学科”的国内排名前三的行业重点院校及学科、山西大学的应（往）届全日制硕士研究生；已取得中小学高级教师、中等职业学校高级讲师及以上职称的教师，需具有全日制大学本科及以上学历。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党老师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0350-2028825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18603508861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数学 </w:t>
            </w:r>
          </w:p>
        </w:tc>
        <w:tc>
          <w:tcPr>
            <w:tcW w:w="4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市云中路小学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（4人）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（往）届全日制博士研究生；双一流建设高校、世界排名前200所高校、未列入国家“双一流大学及学科”的国内排名前三的行业重点院校及学科、山西大学的应（往）届全日制硕士研究生；已取得中小学高级教师、中等职业学校高级讲师及以上职称的教师，需具有全日制大学本科及以上学历。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市第五中学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（往）届全日制博士研究生；双一流建设高校、世界排名前200所高校、未列入国家“双一流大学及学科”的国内排名前三的行业重点院校及学科、山西大学的应（往）届全日制硕士研究生；已取得中小学高级教师、中等职业学校高级讲师及以上职称的教师，需具有全日制大学本科及以上学历。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市第十三中学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语文 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（往）届全日制博士研究生；双一流建设高校、世界排名前200所高校、未列入国家“双一流大学及学科”的国内排名前三的行业重点院校及学科、山西大学的应（往）届全日制硕士研究生；已取得中小学高级教师、中等职业学校高级讲师及以上职称的教师，需具有全日制大学本科及以上学历。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引才单位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引进名额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引进学科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（20人）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原平农业学校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</w:t>
            </w:r>
          </w:p>
        </w:tc>
        <w:tc>
          <w:tcPr>
            <w:tcW w:w="49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（往）届全日制博士研究生；双一流建设高校、世界排名前200所高校、未列入国家“双一流大学及学科”的国内排名前三的行业重点院校及学科、山西大学的应（往）届全日制硕士研究生；已取得中小学高级教师、中等职业学校高级讲师及以上职称的教师，需具有全日制大学本科及以上学历。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党老师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0350-2028825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18603508861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4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4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市第十中学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（4人）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全额事业 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4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（往）届全日制博士研究生；双一流建设高校、世界排名前200所高校、未列入国家“双一流大学及学科”的国内排名前三的行业重点院校及学科、山西大学的应（往）届全日制硕士研究生；已取得中小学高级教师、中等职业学校高级讲师及以上职称的教师，需具有全日制大学本科及以上学历。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英语 </w:t>
            </w:r>
          </w:p>
        </w:tc>
        <w:tc>
          <w:tcPr>
            <w:tcW w:w="4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数学 </w:t>
            </w:r>
          </w:p>
        </w:tc>
        <w:tc>
          <w:tcPr>
            <w:tcW w:w="4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4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  <w:sectPr>
          <w:pgSz w:w="16838" w:h="11906" w:orient="landscape"/>
          <w:pgMar w:top="1020" w:right="1417" w:bottom="102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sz w:val="30"/>
          <w:szCs w:val="30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olor w:val="000000"/>
          <w:sz w:val="30"/>
          <w:szCs w:val="30"/>
          <w:u w:val="none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62" w:afterLines="20" w:afterAutospacing="0" w:line="600" w:lineRule="exact"/>
        <w:jc w:val="both"/>
        <w:textAlignment w:val="auto"/>
        <w:rPr>
          <w:rFonts w:hint="eastAsia" w:ascii="黑体" w:hAnsi="黑体" w:eastAsia="黑体"/>
          <w:b w:val="0"/>
          <w:bCs/>
          <w:sz w:val="36"/>
          <w:szCs w:val="36"/>
        </w:rPr>
      </w:pPr>
      <w:r>
        <w:rPr>
          <w:rStyle w:val="7"/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忻州市</w:t>
      </w:r>
      <w:r>
        <w:rPr>
          <w:rStyle w:val="7"/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2019年部分</w:t>
      </w:r>
      <w:r>
        <w:rPr>
          <w:rStyle w:val="7"/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市直事业单位引进高层次人才报名表</w:t>
      </w:r>
    </w:p>
    <w:tbl>
      <w:tblPr>
        <w:tblStyle w:val="9"/>
        <w:tblW w:w="9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"/>
        <w:gridCol w:w="506"/>
        <w:gridCol w:w="744"/>
        <w:gridCol w:w="372"/>
        <w:gridCol w:w="758"/>
        <w:gridCol w:w="378"/>
        <w:gridCol w:w="772"/>
        <w:gridCol w:w="560"/>
        <w:gridCol w:w="293"/>
        <w:gridCol w:w="1081"/>
        <w:gridCol w:w="16"/>
        <w:gridCol w:w="1387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 片</w:t>
            </w:r>
          </w:p>
          <w:p>
            <w:pPr>
              <w:widowControl/>
              <w:spacing w:line="380" w:lineRule="exact"/>
              <w:ind w:firstLine="120" w:firstLineChars="5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专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业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长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5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所报岗位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学习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85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主要家庭成员及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称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  生日  期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回避关系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523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5588"/>
    <w:rsid w:val="400D5588"/>
    <w:rsid w:val="5FC764DB"/>
    <w:rsid w:val="6D535020"/>
    <w:rsid w:val="760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Char"/>
    <w:basedOn w:val="1"/>
    <w:link w:val="5"/>
    <w:qFormat/>
    <w:uiPriority w:val="0"/>
    <w:pPr>
      <w:tabs>
        <w:tab w:val="left" w:pos="360"/>
      </w:tabs>
    </w:pPr>
  </w:style>
  <w:style w:type="character" w:styleId="7">
    <w:name w:val="Strong"/>
    <w:basedOn w:val="5"/>
    <w:qFormat/>
    <w:uiPriority w:val="0"/>
    <w:rPr>
      <w:b/>
    </w:rPr>
  </w:style>
  <w:style w:type="character" w:styleId="8">
    <w:name w:val="page number"/>
    <w:basedOn w:val="5"/>
    <w:unhideWhenUsed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2019-11-14T11:26:00Z</dcterms:created>
  <dc:creator>Administrator</dc:creator>
  <cp:lastModifiedBy>Administrator</cp:lastModifiedBy>
  <cp:lastPrinted>2019-11-15T03:01:50Z</cp:lastPrinted>
  <dcterms:modified xsi:type="dcterms:W3CDTF">2019-11-15T06:58:07Z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